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b3b3b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b3b3b3"/>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Money back guarantee form or for sending Viarax goods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Recipient: </w:t>
        <w:tab/>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0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Active life Inv., s.r.o.</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P.O.BOX No. 15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6381" w:right="0" w:firstLine="708.999999999999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911 01 Trenčín</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tab/>
        <w:tab/>
        <w:tab/>
        <w:tab/>
        <w:tab/>
        <w:tab/>
        <w:tab/>
        <w:tab/>
        <w:tab/>
        <w:t xml:space="preserve">Company ID: 51006766</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and Surname: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 date: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 number (VS):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Order receipt date: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 (To be completed by Buyer if it is not a withdrawal without stating a reason):</w:t>
      </w:r>
    </w:p>
    <w:tbl>
      <w:tblPr>
        <w:tblStyle w:val="Table1"/>
        <w:tblW w:w="96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3"/>
        <w:gridCol w:w="4814"/>
        <w:tblGridChange w:id="0">
          <w:tblGrid>
            <w:gridCol w:w="4813"/>
            <w:gridCol w:w="4814"/>
          </w:tblGrid>
        </w:tblGridChange>
      </w:tblGrid>
      <w:t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product did you order?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How many capsules did you use?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Did you follow the recommended dosage?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What did you expect from the given product?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Have you combined Viarax with alcohol or any medicines?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Are you being treated by a urologist or sexologist for problems related to erection, potency or prostate?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was different from the previous usage when the product worked? </w:t>
              <w:br w:type="textWrapping"/>
              <w:br w:type="textWrapping"/>
            </w:r>
          </w:p>
        </w:tc>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you ill during the period of use?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you been taking any medications that you do not normally take?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the capsules look the same as before?</w:t>
              <w:br w:type="textWrapping"/>
            </w:r>
          </w:p>
        </w:tc>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Did you use it as you did in the past (recommended dosage, one hour before sexual intercourse...)?</w:t>
              <w:br w:type="textWrapping"/>
            </w:r>
          </w:p>
        </w:tc>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request a refund to be sent to the following account number: ________________________</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According to the Seller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 </w:t>
      </w:r>
      <w:r w:rsidDel="00000000" w:rsidR="00000000" w:rsidRPr="00000000">
        <w:rPr>
          <w:rFonts w:ascii="Times New Roman" w:cs="Times New Roman" w:eastAsia="Times New Roman" w:hAnsi="Times New Roman"/>
          <w:b w:val="0"/>
          <w:i w:val="0"/>
          <w:smallCaps w:val="0"/>
          <w:strike w:val="0"/>
          <w:color w:val="00000a"/>
          <w:sz w:val="22"/>
          <w:szCs w:val="22"/>
          <w:u w:val="none"/>
          <w:shd w:fill="auto" w:val="clear"/>
          <w:vertAlign w:val="baseline"/>
          <w:rtl w:val="0"/>
        </w:rPr>
        <w:t xml:space="preserve">General Terms and Conditions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Buyer is entitled to withdraw from the Contract concluded remotely or from a Contract concluded outside the Seller’s premises within 14 days from the date of receipt of the goods provided the goods were not used, they are in the original sealed packaging and not damaged or incomplete in the form of an insured consignment; the Buyer is obliged to send the goods back to the Seller no later than 14 days from the date of withdrawal from the Contract</w:t>
      </w:r>
      <w:r w:rsidDel="00000000" w:rsidR="00000000" w:rsidRPr="00000000">
        <w:rPr>
          <w:sz w:val="22"/>
          <w:szCs w:val="22"/>
          <w:rtl w:val="0"/>
        </w:rPr>
        <w:t xml:space="preserve">. </w:t>
      </w:r>
      <w:r w:rsidDel="00000000" w:rsidR="00000000" w:rsidRPr="00000000">
        <w:rPr>
          <w:sz w:val="22"/>
          <w:szCs w:val="22"/>
          <w:rtl w:val="0"/>
        </w:rPr>
        <w:t xml:space="preserve">The Buyer may not withdraw from the contract in the case of goods that are not suitable for return due to health protection or hygiene reasons and packaging of which has been damaged after delivery of the goods and/or the goods in it has been used  by the Buyer. In the case of goods/products for which the Seller indicates the indication “GUARANTEE“ and for which the Buyer is not entitled to withdraw from the contract with reference to the preceding sentence, and if such goods did not meet the Buyer's expectations, the following shall apply: Provided that the product/goods is consumed to the maximum extent of 50%, the Buyer is entitled to return the product, and is entitled to a return of 100% of the value of the product in the form of a voucher from the Seller, which the Buyer is entitled to use to purchase any product offered by the Seller. The Buyer may exercise the right to return the goods under the preceding sentence within 14 days from the date of receipt of the consignment of goods and the voucher shall be valid for 30 days from the date of exercising the right to return the goods. At the same time, the Buyer is obliged to return the goods within the aforementioned 14-day period in the original packaging, with the completed price refund form for the goods and the original invoice from the purchase.</w:t>
      </w:r>
    </w:p>
    <w:p w:rsidR="00000000" w:rsidDel="00000000" w:rsidP="00000000" w:rsidRDefault="00000000" w:rsidRPr="00000000" w14:paraId="00000036">
      <w:pPr>
        <w:shd w:fill="ffffff" w:val="clea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In the event that pursuant to this form and according to the General Terms and Conditions of the Seller you withdraw from the contract and return the goods within the statutory period of 14 days, or in the case of products marked “GUARANTEE,” if you return the goods and exercise the right to a voucher worth 100% of the goods within the period of 14 days, it is necessary to send this completed form with the original invoice from the purchase to the above address of the Seller within 14 days from the date of receipt of the goods. The form can be sent electronically within 14 days from the date of receipt of the goods, signed and scanned together with the invoice to the e-mail address </w:t>
      </w:r>
      <w:hyperlink r:id="rId7">
        <w:r w:rsidDel="00000000" w:rsidR="00000000" w:rsidRPr="00000000">
          <w:rPr>
            <w:color w:val="1155cc"/>
            <w:sz w:val="22"/>
            <w:szCs w:val="22"/>
            <w:u w:val="single"/>
            <w:rtl w:val="0"/>
          </w:rPr>
          <w:t xml:space="preserve">info@viarax.com</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In_____________________on 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the Consumer</w:t>
      </w:r>
      <w:r w:rsidDel="00000000" w:rsidR="00000000" w:rsidRPr="00000000">
        <w:rPr>
          <w:rFonts w:ascii="Arial, sans-serif" w:cs="Arial, sans-serif" w:eastAsia="Arial, sans-serif" w:hAnsi="Arial, sans-serif"/>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6838" w:w="11906" w:orient="portrait"/>
      <w:pgMar w:bottom="1134" w:top="567"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sans-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0"/>
      <w:i w:val="0"/>
      <w:smallCaps w:val="0"/>
      <w:strike w:val="0"/>
      <w:color w:val="000000"/>
      <w:sz w:val="28"/>
      <w:szCs w:val="28"/>
      <w:u w:val="none"/>
      <w:shd w:fill="auto" w:val="clear"/>
      <w:vertAlign w:val="baseline"/>
    </w:rPr>
  </w:style>
  <w:style w:type="paragraph" w:styleId="Normlny" w:default="1">
    <w:name w:val="Normal"/>
    <w:qFormat w:val="1"/>
    <w:pPr>
      <w:suppressAutoHyphens w:val="1"/>
      <w:textAlignment w:val="baseline"/>
    </w:pPr>
  </w:style>
  <w:style w:type="paragraph" w:styleId="Nadpis1">
    <w:name w:val="heading 1"/>
    <w:basedOn w:val="Normlny"/>
    <w:link w:val="Nadpis1Char"/>
    <w:uiPriority w:val="9"/>
    <w:qFormat w:val="1"/>
    <w:rsid w:val="00FD0815"/>
    <w:pPr>
      <w:suppressAutoHyphens w:val="0"/>
      <w:spacing w:after="100" w:afterAutospacing="1" w:before="100" w:beforeAutospacing="1"/>
      <w:textAlignment w:val="auto"/>
      <w:outlineLvl w:val="0"/>
    </w:pPr>
    <w:rPr>
      <w:rFonts w:cs="Times New Roman" w:eastAsia="Times New Roman"/>
      <w:b w:val="1"/>
      <w:bCs w:val="1"/>
      <w:kern w:val="36"/>
      <w:sz w:val="48"/>
      <w:szCs w:val="4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Silnzvraznenie" w:customStyle="1">
    <w:name w:val="Silné zvýraznenie"/>
    <w:qFormat w:val="1"/>
    <w:rPr>
      <w:b w:val="1"/>
      <w:bCs w:val="1"/>
    </w:rPr>
  </w:style>
  <w:style w:type="character" w:styleId="HlavikaChar" w:customStyle="1">
    <w:name w:val="Hlavička Char"/>
    <w:basedOn w:val="Predvolenpsmoodseku"/>
    <w:link w:val="Hlavika"/>
    <w:uiPriority w:val="99"/>
    <w:qFormat w:val="1"/>
    <w:rsid w:val="007B035A"/>
  </w:style>
  <w:style w:type="character" w:styleId="PtaChar" w:customStyle="1">
    <w:name w:val="Päta Char"/>
    <w:basedOn w:val="Predvolenpsmoodseku"/>
    <w:link w:val="Pta"/>
    <w:uiPriority w:val="99"/>
    <w:qFormat w:val="1"/>
    <w:rsid w:val="007B035A"/>
  </w:style>
  <w:style w:type="character" w:styleId="ListLabel1" w:customStyle="1">
    <w:name w:val="ListLabel 1"/>
    <w:qFormat w:val="1"/>
    <w:rPr>
      <w:rFonts w:cs="Tahoma" w:eastAsia="Arial Unicode MS"/>
      <w:b w:val="0"/>
      <w:sz w:val="20"/>
    </w:rPr>
  </w:style>
  <w:style w:type="character" w:styleId="ListLabel2" w:customStyle="1">
    <w:name w:val="ListLabel 2"/>
    <w:qFormat w:val="1"/>
    <w:rPr>
      <w:rFonts w:cs="Courier New"/>
    </w:rPr>
  </w:style>
  <w:style w:type="character" w:styleId="ListLabel3" w:customStyle="1">
    <w:name w:val="ListLabel 3"/>
    <w:qFormat w:val="1"/>
    <w:rPr>
      <w:rFonts w:cs="Courier New"/>
    </w:rPr>
  </w:style>
  <w:style w:type="character" w:styleId="ListLabel4" w:customStyle="1">
    <w:name w:val="ListLabel 4"/>
    <w:qFormat w:val="1"/>
    <w:rPr>
      <w:rFonts w:cs="Courier New"/>
    </w:rPr>
  </w:style>
  <w:style w:type="character" w:styleId="Internetovodkaz" w:customStyle="1">
    <w:name w:val="Internetový odkaz"/>
    <w:rPr>
      <w:color w:val="000080"/>
      <w:u w:val="single"/>
    </w:rPr>
  </w:style>
  <w:style w:type="paragraph" w:styleId="Nadpis" w:customStyle="1">
    <w:name w:val="Nadpis"/>
    <w:basedOn w:val="Normlny"/>
    <w:next w:val="Zkladntext"/>
    <w:qFormat w:val="1"/>
    <w:pPr>
      <w:keepNext w:val="1"/>
      <w:spacing w:after="120" w:before="240"/>
    </w:pPr>
    <w:rPr>
      <w:rFonts w:ascii="Liberation Sans" w:cs="Lucida Sans" w:eastAsia="Microsoft YaHei" w:hAnsi="Liberation Sans"/>
      <w:sz w:val="28"/>
      <w:szCs w:val="28"/>
    </w:rPr>
  </w:style>
  <w:style w:type="paragraph" w:styleId="Zkladntext">
    <w:name w:val="Body Text"/>
    <w:basedOn w:val="Normlny"/>
    <w:pPr>
      <w:spacing w:after="140" w:line="276" w:lineRule="auto"/>
    </w:pPr>
  </w:style>
  <w:style w:type="paragraph" w:styleId="Zoznam">
    <w:name w:val="List"/>
    <w:basedOn w:val="Textbody"/>
  </w:style>
  <w:style w:type="paragraph" w:styleId="Popis">
    <w:name w:val="caption"/>
    <w:basedOn w:val="Standard"/>
    <w:qFormat w:val="1"/>
    <w:pPr>
      <w:suppressLineNumbers w:val="1"/>
      <w:spacing w:after="120" w:before="120"/>
    </w:pPr>
    <w:rPr>
      <w:i w:val="1"/>
      <w:iCs w:val="1"/>
    </w:rPr>
  </w:style>
  <w:style w:type="paragraph" w:styleId="Index" w:customStyle="1">
    <w:name w:val="Index"/>
    <w:basedOn w:val="Standard"/>
    <w:qFormat w:val="1"/>
    <w:pPr>
      <w:suppressLineNumbers w:val="1"/>
    </w:pPr>
  </w:style>
  <w:style w:type="paragraph" w:styleId="Standard" w:customStyle="1">
    <w:name w:val="Standard"/>
    <w:qFormat w:val="1"/>
  </w:style>
  <w:style w:type="paragraph" w:styleId="Nzov">
    <w:name w:val="Title"/>
    <w:basedOn w:val="Standard"/>
    <w:qFormat w:val="1"/>
    <w:pPr>
      <w:keepNext w:val="1"/>
      <w:spacing w:after="120" w:before="240"/>
    </w:pPr>
    <w:rPr>
      <w:rFonts w:ascii="Arial" w:eastAsia="MS Mincho" w:hAnsi="Arial"/>
      <w:sz w:val="28"/>
      <w:szCs w:val="28"/>
    </w:rPr>
  </w:style>
  <w:style w:type="paragraph" w:styleId="Textbody" w:customStyle="1">
    <w:name w:val="Text body"/>
    <w:basedOn w:val="Standard"/>
    <w:qFormat w:val="1"/>
    <w:pPr>
      <w:spacing w:after="120"/>
    </w:pPr>
  </w:style>
  <w:style w:type="paragraph" w:styleId="Podtitul">
    <w:name w:val="Subtitle"/>
    <w:basedOn w:val="Nzov"/>
    <w:qFormat w:val="1"/>
    <w:pPr>
      <w:jc w:val="center"/>
    </w:pPr>
    <w:rPr>
      <w:i w:val="1"/>
      <w:iCs w:val="1"/>
    </w:rPr>
  </w:style>
  <w:style w:type="paragraph" w:styleId="Hlavika">
    <w:name w:val="header"/>
    <w:basedOn w:val="Normlny"/>
    <w:link w:val="HlavikaChar"/>
    <w:uiPriority w:val="99"/>
    <w:unhideWhenUsed w:val="1"/>
    <w:rsid w:val="007B035A"/>
    <w:pPr>
      <w:tabs>
        <w:tab w:val="center" w:pos="4536"/>
        <w:tab w:val="right" w:pos="9072"/>
      </w:tabs>
    </w:pPr>
  </w:style>
  <w:style w:type="paragraph" w:styleId="Pta">
    <w:name w:val="footer"/>
    <w:basedOn w:val="Normlny"/>
    <w:link w:val="PtaChar"/>
    <w:uiPriority w:val="99"/>
    <w:unhideWhenUsed w:val="1"/>
    <w:rsid w:val="007B035A"/>
    <w:pPr>
      <w:tabs>
        <w:tab w:val="center" w:pos="4536"/>
        <w:tab w:val="right" w:pos="9072"/>
      </w:tabs>
    </w:pPr>
  </w:style>
  <w:style w:type="table" w:styleId="Mriekatabuky">
    <w:name w:val="Table Grid"/>
    <w:basedOn w:val="Normlnatabuka"/>
    <w:uiPriority w:val="39"/>
    <w:rsid w:val="008F13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adpis1Char" w:customStyle="1">
    <w:name w:val="Nadpis 1 Char"/>
    <w:basedOn w:val="Predvolenpsmoodseku"/>
    <w:link w:val="Nadpis1"/>
    <w:uiPriority w:val="9"/>
    <w:rsid w:val="00FD0815"/>
    <w:rPr>
      <w:rFonts w:cs="Times New Roman" w:eastAsia="Times New Roman"/>
      <w:b w:val="1"/>
      <w:bCs w:val="1"/>
      <w:kern w:val="36"/>
      <w:sz w:val="48"/>
      <w:szCs w:val="48"/>
    </w:rPr>
  </w:style>
  <w:style w:type="character" w:styleId="Odkaznakomentr">
    <w:name w:val="annotation reference"/>
    <w:basedOn w:val="Predvolenpsmoodseku"/>
    <w:uiPriority w:val="99"/>
    <w:semiHidden w:val="1"/>
    <w:unhideWhenUsed w:val="1"/>
    <w:rsid w:val="00FD0815"/>
    <w:rPr>
      <w:sz w:val="16"/>
      <w:szCs w:val="16"/>
    </w:rPr>
  </w:style>
  <w:style w:type="character" w:styleId="h1a" w:customStyle="1">
    <w:name w:val="h1a"/>
    <w:basedOn w:val="Predvolenpsmoodseku"/>
    <w:rsid w:val="00FD0815"/>
  </w:style>
  <w:style w:type="paragraph" w:styleId="Textbubliny">
    <w:name w:val="Balloon Text"/>
    <w:basedOn w:val="Normlny"/>
    <w:link w:val="TextbublinyChar"/>
    <w:uiPriority w:val="99"/>
    <w:semiHidden w:val="1"/>
    <w:unhideWhenUsed w:val="1"/>
    <w:rsid w:val="00FD0815"/>
    <w:rPr>
      <w:rFonts w:ascii="Tahoma" w:hAnsi="Tahoma"/>
      <w:sz w:val="16"/>
      <w:szCs w:val="16"/>
    </w:rPr>
  </w:style>
  <w:style w:type="character" w:styleId="TextbublinyChar" w:customStyle="1">
    <w:name w:val="Text bubliny Char"/>
    <w:basedOn w:val="Predvolenpsmoodseku"/>
    <w:link w:val="Textbubliny"/>
    <w:uiPriority w:val="99"/>
    <w:semiHidden w:val="1"/>
    <w:rsid w:val="00FD0815"/>
    <w:rPr>
      <w:rFonts w:ascii="Tahoma" w:hAnsi="Tahoma"/>
      <w:sz w:val="16"/>
      <w:szCs w:val="16"/>
    </w:rPr>
  </w:style>
  <w:style w:type="character" w:styleId="Hypertextovprepojenie">
    <w:name w:val="Hyperlink"/>
    <w:basedOn w:val="Predvolenpsmoodseku"/>
    <w:uiPriority w:val="99"/>
    <w:unhideWhenUsed w:val="1"/>
    <w:rsid w:val="005D75C0"/>
    <w:rPr>
      <w:color w:val="0563c1" w:themeColor="hyperlink"/>
      <w:u w:val="single"/>
    </w:rPr>
  </w:style>
  <w:style w:type="character" w:styleId="Nevyrieenzmienka">
    <w:name w:val="Unresolved Mention"/>
    <w:basedOn w:val="Predvolenpsmoodseku"/>
    <w:uiPriority w:val="99"/>
    <w:semiHidden w:val="1"/>
    <w:unhideWhenUsed w:val="1"/>
    <w:rsid w:val="005D75C0"/>
    <w:rPr>
      <w:color w:val="605e5c"/>
      <w:shd w:color="auto" w:fill="e1dfdd" w:val="clear"/>
    </w:rPr>
  </w:style>
  <w:style w:type="paragraph" w:styleId="Subtitle">
    <w:name w:val="Sub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0"/>
      <w:i w:val="1"/>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viar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ZEsLNuC+EUfbE5xCvsXcSWNg==">AMUW2mXGiFGP3yuf83K3LMGnbhuF2UC3EFdB4vr7/PNxTRJTtZ1+nuk/i+F9pE3gsR3BhTGfjbY3UJfKr80CyN1/XZ7fbo7+7iOQHYgTP1r5qUVniJ7kMzs=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2020-09-05T10:28:00Z</dcterms:created>
  <dc:creator>viktor tekula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